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C27E1C" w:rsidRPr="00657CFA" w:rsidTr="0070144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</w:tr>
          </w:tbl>
          <w:p w:rsidR="00500309" w:rsidRDefault="00500309" w:rsidP="00500309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  <w:hideMark/>
                </w:tcPr>
                <w:p w:rsidR="00500309" w:rsidRDefault="00500309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00309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00309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00309" w:rsidRDefault="00500309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00309" w:rsidRDefault="00500309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00309" w:rsidRDefault="00500309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00309" w:rsidRDefault="0050030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2B04D4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B04D4">
              <w:rPr>
                <w:color w:val="000000"/>
                <w:sz w:val="28"/>
                <w:szCs w:val="28"/>
                <w:u w:val="single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608FD">
              <w:rPr>
                <w:color w:val="000000"/>
                <w:sz w:val="28"/>
                <w:szCs w:val="28"/>
                <w:lang w:val="ru-RU"/>
              </w:rPr>
              <w:t xml:space="preserve">                             28</w:t>
            </w:r>
            <w:r w:rsidR="00CE484C" w:rsidRPr="00CE484C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FFA" w:rsidRDefault="00C27E1C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  <w:r w:rsidR="00E44FFA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</w:p>
          <w:p w:rsidR="00C27E1C" w:rsidRPr="00452C82" w:rsidRDefault="00E44FFA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608FD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ab/>
      </w:r>
      <w:r w:rsidRPr="00E44FFA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C27E1C" w:rsidRPr="00E44FFA" w:rsidRDefault="00941D71" w:rsidP="00941D71">
      <w:pPr>
        <w:contextualSpacing/>
        <w:jc w:val="center"/>
        <w:rPr>
          <w:sz w:val="28"/>
          <w:szCs w:val="28"/>
          <w:lang w:val="ru-RU"/>
        </w:rPr>
      </w:pPr>
      <w:r w:rsidRPr="00E44FFA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5F403B" w:rsidRPr="005F403B" w:rsidRDefault="005F403B" w:rsidP="005F403B">
      <w:pPr>
        <w:autoSpaceDN w:val="0"/>
        <w:jc w:val="center"/>
        <w:rPr>
          <w:sz w:val="28"/>
          <w:szCs w:val="28"/>
          <w:lang w:val="ru-RU"/>
        </w:rPr>
      </w:pPr>
      <w:r w:rsidRPr="005F403B">
        <w:rPr>
          <w:sz w:val="28"/>
          <w:szCs w:val="28"/>
          <w:lang w:val="ru-RU"/>
        </w:rPr>
        <w:t>Год начала подготовки: 2023</w:t>
      </w: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E484C">
        <w:rPr>
          <w:sz w:val="28"/>
          <w:szCs w:val="28"/>
          <w:lang w:val="ru-RU"/>
        </w:rPr>
        <w:t>5</w:t>
      </w:r>
    </w:p>
    <w:p w:rsidR="00941D71" w:rsidRDefault="00941D71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5F403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F403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941D71" w:rsidRDefault="00BB7F05" w:rsidP="004608FD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608FD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43.02.15  Поварское и кондитерское дело, утвержденного приказом </w:t>
                  </w:r>
                  <w:proofErr w:type="spellStart"/>
                  <w:r w:rsidR="00941D71" w:rsidRPr="00941D71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E44FFA">
                    <w:rPr>
                      <w:sz w:val="28"/>
                      <w:szCs w:val="28"/>
                      <w:lang w:val="ru-RU"/>
                    </w:rPr>
                    <w:t>65</w:t>
                  </w:r>
                  <w:r w:rsidR="00941D7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5F403B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5F403B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F403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F403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F403B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4608FD">
        <w:rPr>
          <w:color w:val="000000"/>
          <w:sz w:val="28"/>
          <w:szCs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44FFA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E484C" w:rsidRPr="00CE484C">
        <w:rPr>
          <w:color w:val="000000"/>
          <w:sz w:val="28"/>
          <w:szCs w:val="28"/>
          <w:lang w:val="ru-RU"/>
        </w:rPr>
        <w:t>28 мая 2025 г. № 9.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925EF0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</w:t>
      </w:r>
      <w:r w:rsidR="00C30305">
        <w:rPr>
          <w:b/>
          <w:sz w:val="28"/>
          <w:szCs w:val="28"/>
          <w:lang w:val="ru-RU"/>
        </w:rPr>
        <w:t>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07D69" w:rsidRPr="00941D71">
        <w:rPr>
          <w:sz w:val="28"/>
          <w:szCs w:val="28"/>
          <w:lang w:val="ru-RU"/>
        </w:rPr>
        <w:t>43.02.15  Поварское и кондитерское дело</w:t>
      </w:r>
      <w:r w:rsidR="002440D0" w:rsidRPr="00BC3064">
        <w:rPr>
          <w:sz w:val="28"/>
          <w:szCs w:val="28"/>
          <w:lang w:val="ru-RU"/>
        </w:rPr>
        <w:t xml:space="preserve">   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5F403B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5F403B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C30305" w:rsidTr="009D24A6">
        <w:tc>
          <w:tcPr>
            <w:tcW w:w="10841" w:type="dxa"/>
            <w:gridSpan w:val="2"/>
          </w:tcPr>
          <w:p w:rsidR="00C30305" w:rsidRPr="00151D0D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.Информация и информационная деятельность человека</w:t>
            </w:r>
          </w:p>
        </w:tc>
        <w:tc>
          <w:tcPr>
            <w:tcW w:w="1883" w:type="dxa"/>
          </w:tcPr>
          <w:p w:rsidR="00C30305" w:rsidRDefault="00C3030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C30305" w:rsidRDefault="00C30305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5F403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 xml:space="preserve">. Расчет </w:t>
            </w:r>
            <w:r w:rsidR="00BB5191">
              <w:rPr>
                <w:sz w:val="28"/>
                <w:szCs w:val="28"/>
                <w:lang w:val="ru-RU"/>
              </w:rPr>
              <w:t>состава и калорийности блюд</w:t>
            </w:r>
            <w:r w:rsidR="000D11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5F403B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41D7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  <w:r w:rsidR="00BB5191">
              <w:rPr>
                <w:sz w:val="28"/>
                <w:szCs w:val="28"/>
                <w:lang w:val="ru-RU"/>
              </w:rPr>
              <w:t>. Поиск рецептуры.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941D7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</w:t>
            </w:r>
            <w:r w:rsidR="00BB5191">
              <w:rPr>
                <w:sz w:val="28"/>
                <w:szCs w:val="28"/>
                <w:lang w:val="ru-RU"/>
              </w:rPr>
              <w:t xml:space="preserve"> и сотрудников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  <w:r w:rsidR="00BB5191">
              <w:rPr>
                <w:sz w:val="28"/>
                <w:szCs w:val="28"/>
                <w:lang w:val="ru-RU"/>
              </w:rPr>
              <w:t xml:space="preserve"> Защита авторских прав.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0308F5">
        <w:tc>
          <w:tcPr>
            <w:tcW w:w="10841" w:type="dxa"/>
            <w:gridSpan w:val="2"/>
          </w:tcPr>
          <w:p w:rsidR="00C30305" w:rsidRPr="00C30305" w:rsidRDefault="00C30305" w:rsidP="00C3030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C30305" w:rsidRPr="00135E08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C30305" w:rsidRDefault="00C30305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C30305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5F403B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5F403B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</w:t>
            </w:r>
            <w:r w:rsidR="00BB5191">
              <w:rPr>
                <w:sz w:val="28"/>
                <w:szCs w:val="28"/>
                <w:lang w:val="ru-RU"/>
              </w:rPr>
              <w:t>рецептур, меню</w:t>
            </w:r>
            <w:r w:rsidR="00731E30">
              <w:rPr>
                <w:sz w:val="28"/>
                <w:szCs w:val="28"/>
                <w:lang w:val="ru-RU"/>
              </w:rPr>
              <w:t xml:space="preserve">, рекламных </w:t>
            </w:r>
            <w:r w:rsidR="00BB5191">
              <w:rPr>
                <w:sz w:val="28"/>
                <w:szCs w:val="28"/>
                <w:lang w:val="ru-RU"/>
              </w:rPr>
              <w:t>буклетов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5F403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5F403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одностраничных</w:t>
            </w:r>
            <w:r w:rsidR="00F30B93">
              <w:rPr>
                <w:sz w:val="28"/>
                <w:szCs w:val="28"/>
                <w:lang w:val="ru-RU"/>
              </w:rPr>
              <w:t xml:space="preserve">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561C76">
        <w:tc>
          <w:tcPr>
            <w:tcW w:w="10841" w:type="dxa"/>
            <w:gridSpan w:val="2"/>
          </w:tcPr>
          <w:p w:rsidR="00C30305" w:rsidRPr="00DE0F34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C30305" w:rsidRPr="00DE0F34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C30305" w:rsidRDefault="00C3030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C3030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5F403B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C30305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5F403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BB5191">
              <w:rPr>
                <w:sz w:val="28"/>
                <w:szCs w:val="28"/>
                <w:lang w:val="ru-RU"/>
              </w:rPr>
              <w:t>пропорций рецептур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5F403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5F403B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5F403B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</w:t>
            </w:r>
            <w:r w:rsidR="00BB5191">
              <w:rPr>
                <w:sz w:val="28"/>
                <w:szCs w:val="28"/>
                <w:lang w:val="ru-RU"/>
              </w:rPr>
              <w:t>продуктов и блюд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5F403B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5F403B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технологических карт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5F403B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5F403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5F403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5F403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5F403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5F403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5F403B">
                    <w:fldChar w:fldCharType="begin"/>
                  </w:r>
                  <w:r w:rsidR="005F403B" w:rsidRPr="005F403B">
                    <w:rPr>
                      <w:lang w:val="ru-RU"/>
                    </w:rPr>
                    <w:instrText xml:space="preserve"> </w:instrText>
                  </w:r>
                  <w:r w:rsidR="005F403B">
                    <w:instrText>HYPERLINK</w:instrText>
                  </w:r>
                  <w:r w:rsidR="005F403B" w:rsidRPr="005F403B">
                    <w:rPr>
                      <w:lang w:val="ru-RU"/>
                    </w:rPr>
                    <w:instrText xml:space="preserve"> "</w:instrText>
                  </w:r>
                  <w:r w:rsidR="005F403B">
                    <w:instrText>https</w:instrText>
                  </w:r>
                  <w:r w:rsidR="005F403B" w:rsidRPr="005F403B">
                    <w:rPr>
                      <w:lang w:val="ru-RU"/>
                    </w:rPr>
                    <w:instrText>://</w:instrText>
                  </w:r>
                  <w:r w:rsidR="005F403B">
                    <w:instrText>urait</w:instrText>
                  </w:r>
                  <w:r w:rsidR="005F403B" w:rsidRPr="005F403B">
                    <w:rPr>
                      <w:lang w:val="ru-RU"/>
                    </w:rPr>
                    <w:instrText>.</w:instrText>
                  </w:r>
                  <w:r w:rsidR="005F403B">
                    <w:instrText>ru</w:instrText>
                  </w:r>
                  <w:r w:rsidR="005F403B" w:rsidRPr="005F403B">
                    <w:rPr>
                      <w:lang w:val="ru-RU"/>
                    </w:rPr>
                    <w:instrText>/</w:instrText>
                  </w:r>
                  <w:r w:rsidR="005F403B">
                    <w:instrText>bcode</w:instrText>
                  </w:r>
                  <w:r w:rsidR="005F403B" w:rsidRPr="005F403B">
                    <w:rPr>
                      <w:lang w:val="ru-RU"/>
                    </w:rPr>
                    <w:instrText xml:space="preserve">/455803" </w:instrText>
                  </w:r>
                  <w:r w:rsidR="005F403B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</w:rPr>
                    <w:t>https</w:t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/455803</w:t>
                  </w:r>
                  <w:r w:rsidR="005F403B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5F403B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5F403B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5F403B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="005F403B">
                    <w:fldChar w:fldCharType="begin"/>
                  </w:r>
                  <w:r w:rsidR="005F403B" w:rsidRPr="005F403B">
                    <w:rPr>
                      <w:lang w:val="ru-RU"/>
                    </w:rPr>
                    <w:instrText xml:space="preserve"> </w:instrText>
                  </w:r>
                  <w:r w:rsidR="005F403B">
                    <w:instrText>HYPERLINK</w:instrText>
                  </w:r>
                  <w:r w:rsidR="005F403B" w:rsidRPr="005F403B">
                    <w:rPr>
                      <w:lang w:val="ru-RU"/>
                    </w:rPr>
                    <w:instrText xml:space="preserve"> "</w:instrText>
                  </w:r>
                  <w:r w:rsidR="005F403B">
                    <w:instrText>http</w:instrText>
                  </w:r>
                  <w:r w:rsidR="005F403B" w:rsidRPr="005F403B">
                    <w:rPr>
                      <w:lang w:val="ru-RU"/>
                    </w:rPr>
                    <w:instrText>://</w:instrText>
                  </w:r>
                  <w:r w:rsidR="005F403B">
                    <w:instrText>www</w:instrText>
                  </w:r>
                  <w:r w:rsidR="005F403B" w:rsidRPr="005F403B">
                    <w:rPr>
                      <w:lang w:val="ru-RU"/>
                    </w:rPr>
                    <w:instrText>.</w:instrText>
                  </w:r>
                  <w:r w:rsidR="005F403B">
                    <w:instrText>intuit</w:instrText>
                  </w:r>
                  <w:r w:rsidR="005F403B" w:rsidRPr="005F403B">
                    <w:rPr>
                      <w:lang w:val="ru-RU"/>
                    </w:rPr>
                    <w:instrText>.</w:instrText>
                  </w:r>
                  <w:r w:rsidR="005F403B">
                    <w:instrText>ru</w:instrText>
                  </w:r>
                  <w:r w:rsidR="005F403B" w:rsidRPr="005F403B">
                    <w:rPr>
                      <w:lang w:val="ru-RU"/>
                    </w:rPr>
                    <w:instrText xml:space="preserve">" </w:instrText>
                  </w:r>
                  <w:r w:rsidR="005F403B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5F403B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5F403B">
                    <w:fldChar w:fldCharType="begin"/>
                  </w:r>
                  <w:r w:rsidR="005F403B" w:rsidRPr="005F403B">
                    <w:rPr>
                      <w:lang w:val="ru-RU"/>
                    </w:rPr>
                    <w:instrText xml:space="preserve"> </w:instrText>
                  </w:r>
                  <w:r w:rsidR="005F403B">
                    <w:instrText>HYPERLINK</w:instrText>
                  </w:r>
                  <w:r w:rsidR="005F403B" w:rsidRPr="005F403B">
                    <w:rPr>
                      <w:lang w:val="ru-RU"/>
                    </w:rPr>
                    <w:instrText xml:space="preserve"> "</w:instrText>
                  </w:r>
                  <w:r w:rsidR="005F403B">
                    <w:instrText>http</w:instrText>
                  </w:r>
                  <w:r w:rsidR="005F403B" w:rsidRPr="005F403B">
                    <w:rPr>
                      <w:lang w:val="ru-RU"/>
                    </w:rPr>
                    <w:instrText>://</w:instrText>
                  </w:r>
                  <w:r w:rsidR="005F403B">
                    <w:instrText>www</w:instrText>
                  </w:r>
                  <w:r w:rsidR="005F403B" w:rsidRPr="005F403B">
                    <w:rPr>
                      <w:lang w:val="ru-RU"/>
                    </w:rPr>
                    <w:instrText>.</w:instrText>
                  </w:r>
                  <w:r w:rsidR="005F403B">
                    <w:instrText>junior</w:instrText>
                  </w:r>
                  <w:r w:rsidR="005F403B" w:rsidRPr="005F403B">
                    <w:rPr>
                      <w:lang w:val="ru-RU"/>
                    </w:rPr>
                    <w:instrText>.</w:instrText>
                  </w:r>
                  <w:r w:rsidR="005F403B">
                    <w:instrText>ru</w:instrText>
                  </w:r>
                  <w:r w:rsidR="005F403B" w:rsidRPr="005F403B">
                    <w:rPr>
                      <w:lang w:val="ru-RU"/>
                    </w:rPr>
                    <w:instrText>/</w:instrText>
                  </w:r>
                  <w:r w:rsidR="005F403B">
                    <w:instrText>wwwexam</w:instrText>
                  </w:r>
                  <w:r w:rsidR="005F403B" w:rsidRPr="005F403B">
                    <w:rPr>
                      <w:lang w:val="ru-RU"/>
                    </w:rPr>
                    <w:instrText xml:space="preserve">/" </w:instrText>
                  </w:r>
                  <w:r w:rsidR="005F403B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5F403B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5F403B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5F403B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FA" w:rsidRDefault="00E44FFA" w:rsidP="0008408D">
      <w:r>
        <w:separator/>
      </w:r>
    </w:p>
  </w:endnote>
  <w:endnote w:type="continuationSeparator" w:id="0">
    <w:p w:rsidR="00E44FFA" w:rsidRDefault="00E44FF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E44FFA" w:rsidRDefault="00E44F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03B" w:rsidRPr="005F403B">
          <w:rPr>
            <w:noProof/>
            <w:lang w:val="ru-RU"/>
          </w:rPr>
          <w:t>2</w:t>
        </w:r>
        <w:r>
          <w:fldChar w:fldCharType="end"/>
        </w:r>
      </w:p>
    </w:sdtContent>
  </w:sdt>
  <w:p w:rsidR="00E44FFA" w:rsidRDefault="00E44F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FA" w:rsidRDefault="00E44FFA" w:rsidP="0008408D">
      <w:r>
        <w:separator/>
      </w:r>
    </w:p>
  </w:footnote>
  <w:footnote w:type="continuationSeparator" w:id="0">
    <w:p w:rsidR="00E44FFA" w:rsidRDefault="00E44FF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5C8D"/>
    <w:rsid w:val="003B4B43"/>
    <w:rsid w:val="003D6F97"/>
    <w:rsid w:val="003E58A5"/>
    <w:rsid w:val="003F1CBC"/>
    <w:rsid w:val="0040314C"/>
    <w:rsid w:val="004325D5"/>
    <w:rsid w:val="004465CB"/>
    <w:rsid w:val="00450D21"/>
    <w:rsid w:val="004608FD"/>
    <w:rsid w:val="004A3F32"/>
    <w:rsid w:val="004D724A"/>
    <w:rsid w:val="004E41DB"/>
    <w:rsid w:val="004E5253"/>
    <w:rsid w:val="004F77B4"/>
    <w:rsid w:val="00500309"/>
    <w:rsid w:val="005076C5"/>
    <w:rsid w:val="00524AB8"/>
    <w:rsid w:val="005B5486"/>
    <w:rsid w:val="005D14D6"/>
    <w:rsid w:val="005E166C"/>
    <w:rsid w:val="005E7550"/>
    <w:rsid w:val="005F403B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E3821"/>
    <w:rsid w:val="00807D69"/>
    <w:rsid w:val="00831746"/>
    <w:rsid w:val="00853DE9"/>
    <w:rsid w:val="0085576B"/>
    <w:rsid w:val="008C4A9B"/>
    <w:rsid w:val="009004BB"/>
    <w:rsid w:val="00901BF9"/>
    <w:rsid w:val="00925EF0"/>
    <w:rsid w:val="00941D71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5191"/>
    <w:rsid w:val="00BB7F05"/>
    <w:rsid w:val="00BC3064"/>
    <w:rsid w:val="00C00A0B"/>
    <w:rsid w:val="00C17D84"/>
    <w:rsid w:val="00C24985"/>
    <w:rsid w:val="00C27E1C"/>
    <w:rsid w:val="00C30305"/>
    <w:rsid w:val="00C671D4"/>
    <w:rsid w:val="00C704A8"/>
    <w:rsid w:val="00C71A8C"/>
    <w:rsid w:val="00C73CA2"/>
    <w:rsid w:val="00C755D1"/>
    <w:rsid w:val="00CA4C61"/>
    <w:rsid w:val="00CE484C"/>
    <w:rsid w:val="00D044AA"/>
    <w:rsid w:val="00D21A8F"/>
    <w:rsid w:val="00DA4D03"/>
    <w:rsid w:val="00DB13F1"/>
    <w:rsid w:val="00DE0F34"/>
    <w:rsid w:val="00E10B57"/>
    <w:rsid w:val="00E23911"/>
    <w:rsid w:val="00E34375"/>
    <w:rsid w:val="00E44FFA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CCE7-D9D4-48CE-B04F-2DDDF01B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23</cp:revision>
  <cp:lastPrinted>2023-08-28T06:38:00Z</cp:lastPrinted>
  <dcterms:created xsi:type="dcterms:W3CDTF">2023-06-05T08:08:00Z</dcterms:created>
  <dcterms:modified xsi:type="dcterms:W3CDTF">2025-11-18T08:41:00Z</dcterms:modified>
</cp:coreProperties>
</file>